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49560" w14:textId="77777777" w:rsidR="00414080" w:rsidRPr="0009433A" w:rsidRDefault="00414080">
      <w:pPr>
        <w:rPr>
          <w:rFonts w:cs="Calibri"/>
        </w:rPr>
      </w:pPr>
    </w:p>
    <w:p w14:paraId="35C339AD" w14:textId="77777777" w:rsidR="0009433A" w:rsidRPr="0009433A" w:rsidRDefault="0009433A" w:rsidP="0009433A">
      <w:pPr>
        <w:jc w:val="right"/>
        <w:rPr>
          <w:rFonts w:cs="Calibri"/>
        </w:rPr>
      </w:pPr>
      <w:r w:rsidRPr="0009433A">
        <w:rPr>
          <w:rFonts w:cs="Calibri"/>
        </w:rPr>
        <w:t>Załącznik nr 1 do regulaminu</w:t>
      </w:r>
    </w:p>
    <w:p w14:paraId="1D88655C" w14:textId="77777777" w:rsidR="0009433A" w:rsidRPr="0009433A" w:rsidRDefault="0009433A" w:rsidP="0009433A">
      <w:pPr>
        <w:jc w:val="right"/>
        <w:rPr>
          <w:rFonts w:cs="Calibri"/>
        </w:rPr>
      </w:pPr>
    </w:p>
    <w:p w14:paraId="14A54727" w14:textId="77777777" w:rsidR="0009433A" w:rsidRPr="0009433A" w:rsidRDefault="0009433A" w:rsidP="00C85EC6">
      <w:pPr>
        <w:spacing w:before="960" w:after="960" w:line="240" w:lineRule="auto"/>
        <w:contextualSpacing/>
        <w:jc w:val="center"/>
        <w:rPr>
          <w:rFonts w:cs="Calibri"/>
          <w:b/>
        </w:rPr>
      </w:pPr>
      <w:r w:rsidRPr="0009433A">
        <w:rPr>
          <w:rFonts w:cs="Calibri"/>
          <w:b/>
        </w:rPr>
        <w:t xml:space="preserve">KATALOG KOSZTÓW KWALIFIKOWALNYCH </w:t>
      </w:r>
    </w:p>
    <w:p w14:paraId="23A756A5" w14:textId="77777777" w:rsidR="00C85EC6" w:rsidRPr="0009433A" w:rsidRDefault="0009433A" w:rsidP="00C85EC6">
      <w:pPr>
        <w:spacing w:before="960" w:after="960" w:line="240" w:lineRule="auto"/>
        <w:contextualSpacing/>
        <w:jc w:val="center"/>
        <w:rPr>
          <w:rFonts w:cs="Calibri"/>
          <w:b/>
        </w:rPr>
      </w:pPr>
      <w:r w:rsidRPr="0009433A">
        <w:rPr>
          <w:rFonts w:cs="Calibri"/>
          <w:b/>
        </w:rPr>
        <w:t>DLA</w:t>
      </w:r>
      <w:r w:rsidR="00C85EC6" w:rsidRPr="0009433A">
        <w:rPr>
          <w:rFonts w:cs="Calibri"/>
          <w:b/>
        </w:rPr>
        <w:t xml:space="preserve"> POŻYCZKI ENERGETYCZNEJ</w:t>
      </w:r>
    </w:p>
    <w:p w14:paraId="65B3C99C" w14:textId="77777777" w:rsidR="00C85EC6" w:rsidRPr="0009433A" w:rsidRDefault="00C85EC6" w:rsidP="00C85EC6">
      <w:pPr>
        <w:spacing w:before="960" w:after="960" w:line="240" w:lineRule="auto"/>
        <w:contextualSpacing/>
        <w:jc w:val="center"/>
        <w:rPr>
          <w:rFonts w:cs="Calibri"/>
          <w:b/>
        </w:rPr>
      </w:pPr>
      <w:r w:rsidRPr="0009433A">
        <w:rPr>
          <w:rFonts w:cs="Calibri"/>
          <w:b/>
        </w:rPr>
        <w:t xml:space="preserve">ZE ŚRODKÓW FUNDUSZU POWIERNICZEGO </w:t>
      </w:r>
      <w:r w:rsidRPr="0009433A">
        <w:rPr>
          <w:rFonts w:cs="Calibri"/>
          <w:b/>
        </w:rPr>
        <w:br/>
        <w:t>WOJEWÓDZTWA MAZOWIECKIEGO</w:t>
      </w:r>
    </w:p>
    <w:p w14:paraId="3D4A656D" w14:textId="77777777" w:rsidR="0090410C" w:rsidRPr="0009433A" w:rsidRDefault="0090410C" w:rsidP="0090410C">
      <w:pPr>
        <w:spacing w:before="240" w:after="0"/>
        <w:jc w:val="both"/>
        <w:rPr>
          <w:rFonts w:cs="Calibri"/>
        </w:rPr>
      </w:pPr>
    </w:p>
    <w:p w14:paraId="6A21D4D2" w14:textId="77777777" w:rsidR="0009433A" w:rsidRPr="0009433A" w:rsidRDefault="0009433A" w:rsidP="0009433A">
      <w:pPr>
        <w:pStyle w:val="Akapitzlist"/>
        <w:numPr>
          <w:ilvl w:val="0"/>
          <w:numId w:val="14"/>
        </w:numPr>
        <w:spacing w:before="240" w:after="0"/>
        <w:jc w:val="both"/>
        <w:rPr>
          <w:rFonts w:cs="Calibri"/>
        </w:rPr>
      </w:pPr>
      <w:r w:rsidRPr="0009433A">
        <w:rPr>
          <w:rFonts w:cs="Calibri"/>
        </w:rPr>
        <w:t>Katalog kosztów kwalifikowalnych ustala pozycje kosztowe dla których ustalana będzie wartość pożyczki na etapie oceny formalnej wniosku o udzielenie pożyczki energetycznej.</w:t>
      </w:r>
    </w:p>
    <w:p w14:paraId="2EEE6E68" w14:textId="77777777" w:rsidR="0009433A" w:rsidRPr="0009433A" w:rsidRDefault="0009433A" w:rsidP="0009433A">
      <w:pPr>
        <w:pStyle w:val="Akapitzlist"/>
        <w:numPr>
          <w:ilvl w:val="0"/>
          <w:numId w:val="14"/>
        </w:numPr>
        <w:spacing w:before="240" w:after="0"/>
        <w:jc w:val="both"/>
        <w:rPr>
          <w:rFonts w:cs="Calibri"/>
        </w:rPr>
      </w:pPr>
      <w:r w:rsidRPr="0009433A">
        <w:rPr>
          <w:rFonts w:cs="Calibri"/>
        </w:rPr>
        <w:t>Dla projektów realizowanych w schemacie bez pomocy publicznej możliwe będzie udzielenie pożyczki energetycznej do wysokości 100% kosztów kwalifikowalnych jednakże nie więcej niż 10.000.000,00 PLN.</w:t>
      </w:r>
    </w:p>
    <w:p w14:paraId="0C0E57C3" w14:textId="77777777" w:rsidR="0009433A" w:rsidRPr="004564B3" w:rsidRDefault="0009433A" w:rsidP="0009433A">
      <w:pPr>
        <w:pStyle w:val="Akapitzlist"/>
        <w:numPr>
          <w:ilvl w:val="0"/>
          <w:numId w:val="14"/>
        </w:numPr>
        <w:spacing w:before="240" w:after="0"/>
        <w:jc w:val="both"/>
        <w:rPr>
          <w:rFonts w:cs="Calibri"/>
        </w:rPr>
      </w:pPr>
      <w:r w:rsidRPr="0009433A">
        <w:rPr>
          <w:rFonts w:cs="Calibri"/>
        </w:rPr>
        <w:t xml:space="preserve">Dla projektów realizowanych w schemacie pomocy publicznej </w:t>
      </w:r>
      <w:r w:rsidR="00D35DCE">
        <w:rPr>
          <w:rFonts w:cs="Calibri"/>
        </w:rPr>
        <w:t xml:space="preserve">[de </w:t>
      </w:r>
      <w:r w:rsidR="00A758DE">
        <w:rPr>
          <w:rFonts w:cs="Calibri"/>
        </w:rPr>
        <w:t>mini</w:t>
      </w:r>
      <w:r w:rsidR="00D35DCE">
        <w:rPr>
          <w:rFonts w:cs="Calibri"/>
        </w:rPr>
        <w:t xml:space="preserve">mis] </w:t>
      </w:r>
      <w:r w:rsidRPr="0009433A">
        <w:rPr>
          <w:rFonts w:cs="Calibri"/>
        </w:rPr>
        <w:t xml:space="preserve">możliwe będzie udzielenie pożyczki energetycznej do wysokości 75% kosztów kwalifikowalnych jednakże nie </w:t>
      </w:r>
      <w:r w:rsidRPr="004564B3">
        <w:rPr>
          <w:rFonts w:cs="Calibri"/>
        </w:rPr>
        <w:t>więcej niż 10.000.000,00 PLN.</w:t>
      </w:r>
    </w:p>
    <w:p w14:paraId="1D498E5C" w14:textId="77777777" w:rsidR="0009433A" w:rsidRPr="004564B3" w:rsidRDefault="0009433A" w:rsidP="004564B3">
      <w:pPr>
        <w:pStyle w:val="Akapitzlist"/>
        <w:numPr>
          <w:ilvl w:val="0"/>
          <w:numId w:val="14"/>
        </w:numPr>
        <w:spacing w:before="240" w:after="0"/>
        <w:jc w:val="both"/>
        <w:rPr>
          <w:rFonts w:cs="Calibri"/>
        </w:rPr>
      </w:pPr>
      <w:r w:rsidRPr="004564B3">
        <w:rPr>
          <w:rFonts w:cs="Calibri"/>
        </w:rPr>
        <w:t xml:space="preserve">Okres kwalifikowania </w:t>
      </w:r>
      <w:r w:rsidR="00E10EA8">
        <w:rPr>
          <w:rFonts w:cs="Calibri"/>
        </w:rPr>
        <w:t xml:space="preserve">kosztów </w:t>
      </w:r>
      <w:r w:rsidRPr="004564B3">
        <w:rPr>
          <w:rFonts w:cs="Calibri"/>
        </w:rPr>
        <w:t xml:space="preserve">rozpoczyna się po dniu złożenia wniosku </w:t>
      </w:r>
      <w:r w:rsidR="004564B3">
        <w:rPr>
          <w:rFonts w:cs="Calibri"/>
        </w:rPr>
        <w:t>o udzielenie pożyczki energetycznej a kończy 31.12.2023 roku.</w:t>
      </w:r>
    </w:p>
    <w:p w14:paraId="29E733F1" w14:textId="77777777" w:rsidR="0009433A" w:rsidRPr="000D20E5" w:rsidRDefault="004564B3" w:rsidP="004564B3">
      <w:pPr>
        <w:pStyle w:val="Akapitzlist"/>
        <w:numPr>
          <w:ilvl w:val="0"/>
          <w:numId w:val="14"/>
        </w:numPr>
        <w:spacing w:before="240" w:after="0"/>
        <w:jc w:val="both"/>
        <w:rPr>
          <w:rFonts w:cs="Calibri"/>
          <w:iCs/>
          <w:color w:val="000000" w:themeColor="text1"/>
        </w:rPr>
      </w:pPr>
      <w:r w:rsidRPr="004564B3">
        <w:rPr>
          <w:rFonts w:cs="Calibri"/>
          <w:color w:val="000000" w:themeColor="text1"/>
        </w:rPr>
        <w:t xml:space="preserve">Za </w:t>
      </w:r>
      <w:r w:rsidR="00E10EA8">
        <w:rPr>
          <w:rFonts w:cs="Calibri"/>
          <w:color w:val="000000" w:themeColor="text1"/>
        </w:rPr>
        <w:t xml:space="preserve">koszty </w:t>
      </w:r>
      <w:r w:rsidRPr="004564B3">
        <w:rPr>
          <w:rFonts w:cs="Calibri"/>
          <w:color w:val="000000" w:themeColor="text1"/>
        </w:rPr>
        <w:t>kwalifi</w:t>
      </w:r>
      <w:r w:rsidRPr="000D20E5">
        <w:rPr>
          <w:rFonts w:cs="Calibri"/>
          <w:color w:val="000000" w:themeColor="text1"/>
        </w:rPr>
        <w:t xml:space="preserve">kowalne w ramach pożyczki energetycznej uznaje się wydatki niezbędne do </w:t>
      </w:r>
      <w:r w:rsidR="00CA22A6">
        <w:rPr>
          <w:rFonts w:cs="Calibri"/>
          <w:color w:val="000000" w:themeColor="text1"/>
        </w:rPr>
        <w:t>osiągnięcia celów projektu</w:t>
      </w:r>
      <w:r w:rsidR="0009433A" w:rsidRPr="000D20E5">
        <w:rPr>
          <w:rFonts w:cs="Calibri"/>
          <w:iCs/>
          <w:color w:val="000000" w:themeColor="text1"/>
        </w:rPr>
        <w:t>, w szczególności:</w:t>
      </w:r>
    </w:p>
    <w:p w14:paraId="25C07A32" w14:textId="77777777" w:rsidR="0009433A" w:rsidRPr="000D20E5" w:rsidRDefault="0009433A" w:rsidP="000D20E5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Prace inwestycyjne i związane z procesem inwestycyjnym, w szczególności:</w:t>
      </w:r>
    </w:p>
    <w:p w14:paraId="641C9B3E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przygotowanie terenu pod budowę, w tym prace geodezyjne;</w:t>
      </w:r>
    </w:p>
    <w:p w14:paraId="387C7383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prace ziemne;</w:t>
      </w:r>
    </w:p>
    <w:p w14:paraId="19684833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prace budowlano-montażowe;</w:t>
      </w:r>
    </w:p>
    <w:p w14:paraId="50A69DAD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prace instalacyjne;</w:t>
      </w:r>
    </w:p>
    <w:p w14:paraId="22FBC4D3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prace rozbiórkowe;</w:t>
      </w:r>
    </w:p>
    <w:p w14:paraId="2FBA975D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prace związane z przywróceniem stanu pierwotnego terenu na którym prowadzone były działania związane z realizacją projektu;</w:t>
      </w:r>
    </w:p>
    <w:p w14:paraId="244D93EB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prace wykończeniowe;</w:t>
      </w:r>
    </w:p>
    <w:p w14:paraId="4F305CA3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przebudowa infrastruktury technicznej kolidującej z inwestycją;</w:t>
      </w:r>
    </w:p>
    <w:p w14:paraId="0D5EB0E2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zakup materiałów niezbędnych do realizacji projektu;</w:t>
      </w:r>
    </w:p>
    <w:p w14:paraId="04B49583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zakup i modernizacja sprzętu i wyposażenia wraz z montażem, integralnie związanych z projektem;</w:t>
      </w:r>
    </w:p>
    <w:p w14:paraId="1ED87A0A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nadzór inwestorski i/lub autorski w zakresie prawidłowości realizacji inwestycji;</w:t>
      </w:r>
    </w:p>
    <w:p w14:paraId="71CE94FE" w14:textId="77777777" w:rsidR="0009433A" w:rsidRPr="000D20E5" w:rsidRDefault="0009433A" w:rsidP="000D20E5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 xml:space="preserve">odnawialne źródła energii (OZE) - zakup oraz montaż instalacji i urządzeń do produkcji energii elektrycznej i cieplnej ze źródeł odnawialnych np.: kolektory słoneczne, pompy ciepła, ogniwa fotowoltaiczne i inne urządzenia, </w:t>
      </w:r>
    </w:p>
    <w:p w14:paraId="1D36B96E" w14:textId="77777777" w:rsidR="0009433A" w:rsidRPr="000D20E5" w:rsidRDefault="0009433A" w:rsidP="000D20E5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 xml:space="preserve">termomodernizacja - w przypadku termomodernizacji koszty kwalifikowalne, to koszty poszczególnych elementów projektu wskazanych w audycie energetycznym oraz opisanych przez beneficjenta we wniosku o </w:t>
      </w:r>
      <w:r w:rsidR="004564B3" w:rsidRPr="000D20E5">
        <w:rPr>
          <w:rFonts w:cs="Calibri"/>
        </w:rPr>
        <w:t>udzielenie pożyczki</w:t>
      </w:r>
      <w:r w:rsidRPr="000D20E5">
        <w:rPr>
          <w:rFonts w:cs="Calibri"/>
        </w:rPr>
        <w:t>, niezbędne do poprawy oszczędności energii wyrażonej wskaźnikiem EP, w szczególności:</w:t>
      </w:r>
    </w:p>
    <w:p w14:paraId="57746CD4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ściany, w szczególności:</w:t>
      </w:r>
    </w:p>
    <w:p w14:paraId="287FDFE0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lastRenderedPageBreak/>
        <w:t>ściany zewnętrzne (stykające się z powietrzem zewnętrznym, niezależnie od rodzaju ściany) - ocieplenie ścian zewnętrznych,</w:t>
      </w:r>
    </w:p>
    <w:p w14:paraId="4CBC6C91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ściany wewnętrzne pomiędzy pomieszczeniami ogrzewanymi i nieogrzewanymi, klatkami schodowymi lub korytarzami - ocieplenie ścian wewnętrznych.</w:t>
      </w:r>
    </w:p>
    <w:p w14:paraId="739DC87F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Stropy, w szczególności:</w:t>
      </w:r>
    </w:p>
    <w:p w14:paraId="07219777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stropodach – ocieplenie stropodachu,</w:t>
      </w:r>
    </w:p>
    <w:p w14:paraId="2EBC764A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strop pod nieogrzewanym poddaszem – ocieplenie stropu poddasza,</w:t>
      </w:r>
    </w:p>
    <w:p w14:paraId="0F12C85B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strop nad piwnicą – ocieplenie stropu nad piwnicą,</w:t>
      </w:r>
    </w:p>
    <w:p w14:paraId="5E9D0BDF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podłoga na gruncie – ocieplenie podłogi na gruncie.</w:t>
      </w:r>
    </w:p>
    <w:p w14:paraId="49DD486C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Stolarka okienna i drzwiowa, w szczególności:</w:t>
      </w:r>
    </w:p>
    <w:p w14:paraId="49302BFA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wymiana okien i drzwi zewnętrznych wejściowych na nowe,</w:t>
      </w:r>
    </w:p>
    <w:p w14:paraId="5814005E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modernizacja starych okien poprzez spasowanie, zastosowanie/wymianę uszczelek i okuć,</w:t>
      </w:r>
    </w:p>
    <w:p w14:paraId="125EFB3B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uszczelnienie drzwi.</w:t>
      </w:r>
    </w:p>
    <w:p w14:paraId="60D8BB2E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Wentylacja, w szczególności:</w:t>
      </w:r>
    </w:p>
    <w:p w14:paraId="7591CF1D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wentylacji mechanicznej nawiewnej,</w:t>
      </w:r>
    </w:p>
    <w:p w14:paraId="75C391F4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wentylacji mechanicznej wywiewnej,</w:t>
      </w:r>
    </w:p>
    <w:p w14:paraId="6AC338BF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wentylacji mechanicznej nawiewno-wywiewnej,</w:t>
      </w:r>
    </w:p>
    <w:p w14:paraId="5E64E202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wentylacji mechanicznej nawiewno-wywiewnej z odzyskiem ciepła,</w:t>
      </w:r>
    </w:p>
    <w:p w14:paraId="5F3F52C6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montaż nawiewników sterowanych ręcznie oknach i kanałach wentylacyjnych,</w:t>
      </w:r>
    </w:p>
    <w:p w14:paraId="1B574CED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gruntowych wymienników ciepła;</w:t>
      </w:r>
    </w:p>
    <w:p w14:paraId="7F2ECF26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Instalacja ciepłej wody użytkowej, w szczególności:</w:t>
      </w:r>
    </w:p>
    <w:p w14:paraId="41CDE7B4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wymiana/zastosowanie izolacji rurociągów,</w:t>
      </w:r>
    </w:p>
    <w:p w14:paraId="133ECAD2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wymiana rurociągów i izolacji,</w:t>
      </w:r>
    </w:p>
    <w:p w14:paraId="6AF79960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wyposażenie instalacji w cyrkulację,</w:t>
      </w:r>
    </w:p>
    <w:p w14:paraId="37C3F5D5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sterowania czasowego instalacji cyrkulacji,</w:t>
      </w:r>
    </w:p>
    <w:p w14:paraId="73BAACE4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armatury regulacyjnej w zakresie regulacji hydraulicznej (np. zawory podpionowe),</w:t>
      </w:r>
    </w:p>
    <w:p w14:paraId="5B878FBA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wymiana/zastosowanie izolacji zasobników,</w:t>
      </w:r>
    </w:p>
    <w:p w14:paraId="7AA1B7CC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modernizacja/wymiana węzłów cieplnych,</w:t>
      </w:r>
    </w:p>
    <w:p w14:paraId="2914F629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perlatorów,</w:t>
      </w:r>
    </w:p>
    <w:p w14:paraId="24344FD9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kryz ograniczających (reduktorów) przepływu,</w:t>
      </w:r>
    </w:p>
    <w:p w14:paraId="05E80037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baterii jednouchwytowych, termostatycznych, bezdotykowych,</w:t>
      </w:r>
    </w:p>
    <w:p w14:paraId="305D034A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baterii z ograniczonym czasem wypływu.</w:t>
      </w:r>
    </w:p>
    <w:p w14:paraId="7B540865" w14:textId="77777777" w:rsidR="0009433A" w:rsidRPr="000D20E5" w:rsidRDefault="0009433A" w:rsidP="000D20E5">
      <w:pPr>
        <w:pStyle w:val="Akapitzlist"/>
        <w:numPr>
          <w:ilvl w:val="2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Instalacja centralnego ogrzewania, w szczególności:</w:t>
      </w:r>
    </w:p>
    <w:p w14:paraId="61D2F4B7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wymiana instalacji (rurociągi i grzejniki),</w:t>
      </w:r>
    </w:p>
    <w:p w14:paraId="7502EB37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wymiana/zastosowanie izolacji rurociągów,</w:t>
      </w:r>
    </w:p>
    <w:p w14:paraId="0C069BEA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regulacja hydrauliczna,</w:t>
      </w:r>
    </w:p>
    <w:p w14:paraId="74980817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armatury regulacyjnej (zawory regulacyjne, zawory podpionowe itp.),</w:t>
      </w:r>
    </w:p>
    <w:p w14:paraId="077B6161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ekranów zagrzejnikowych,</w:t>
      </w:r>
    </w:p>
    <w:p w14:paraId="23538601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lastRenderedPageBreak/>
        <w:t>hermetyzacja instalacji (zawory odpowietrzające i przeponowe naczynia wzbiorcze),</w:t>
      </w:r>
    </w:p>
    <w:p w14:paraId="56489DF1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czyszczenie (płukanie) chemiczne instalacji,</w:t>
      </w:r>
    </w:p>
    <w:p w14:paraId="3AE00EA0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zaworów termostatycznych,</w:t>
      </w:r>
    </w:p>
    <w:p w14:paraId="409DF56E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automatyki pogodowej,</w:t>
      </w:r>
    </w:p>
    <w:p w14:paraId="06DD469F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sterowania czasowego pracą instalacji (obniżenia nocne, weekendowe itp.),</w:t>
      </w:r>
    </w:p>
    <w:p w14:paraId="71EAE413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remont i dostosowanie pomieszczeń węzłów/kotłowni (okładziny ceramiczne, malowanie, wykonanie instalacji kanalizacyjnych, elektrycznych, wentylacyjnych, przeciwpożarowych itp.),</w:t>
      </w:r>
    </w:p>
    <w:p w14:paraId="5B3CB472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niezbędne roboty budowlane i wykończeniowe (szpachlowanie, malowanie, naprawy tynków itp.).</w:t>
      </w:r>
    </w:p>
    <w:p w14:paraId="42E369E2" w14:textId="77777777" w:rsidR="0009433A" w:rsidRPr="006B1FA7" w:rsidRDefault="0009433A" w:rsidP="000D20E5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 xml:space="preserve">Modernizacja </w:t>
      </w:r>
      <w:r w:rsidRPr="006B1FA7">
        <w:rPr>
          <w:rFonts w:cs="Calibri"/>
        </w:rPr>
        <w:t>oświetlenia</w:t>
      </w:r>
      <w:r w:rsidR="00B61864" w:rsidRPr="006B1FA7">
        <w:rPr>
          <w:rFonts w:cs="Calibri"/>
        </w:rPr>
        <w:t xml:space="preserve"> ulicznego</w:t>
      </w:r>
      <w:r w:rsidRPr="006B1FA7">
        <w:rPr>
          <w:rFonts w:cs="Calibri"/>
        </w:rPr>
        <w:t>, w szczególności:</w:t>
      </w:r>
    </w:p>
    <w:p w14:paraId="2961CF3B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6B1FA7">
        <w:rPr>
          <w:rFonts w:cs="Calibri"/>
        </w:rPr>
        <w:t>wymiana i montaż</w:t>
      </w:r>
      <w:r w:rsidRPr="000D20E5">
        <w:rPr>
          <w:rFonts w:cs="Calibri"/>
        </w:rPr>
        <w:t xml:space="preserve"> punktów świetlnych,</w:t>
      </w:r>
    </w:p>
    <w:p w14:paraId="2857D2E4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wymiana i montaż tablic rozdzielczych,</w:t>
      </w:r>
    </w:p>
    <w:p w14:paraId="4C42411B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zastosowanie i montaż automatyki sterowniczej,</w:t>
      </w:r>
    </w:p>
    <w:p w14:paraId="24C87F34" w14:textId="77777777" w:rsidR="0009433A" w:rsidRPr="000D20E5" w:rsidRDefault="0009433A" w:rsidP="000D20E5">
      <w:pPr>
        <w:pStyle w:val="Akapitzlist"/>
        <w:numPr>
          <w:ilvl w:val="3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>przełożenie instalacji elektrycznych (w sytuacji gdy jest konieczne).</w:t>
      </w:r>
    </w:p>
    <w:p w14:paraId="3AC4B1ED" w14:textId="77777777" w:rsidR="007870FE" w:rsidRPr="000D20E5" w:rsidRDefault="00D74129" w:rsidP="000D20E5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>
        <w:rPr>
          <w:rFonts w:cs="Calibri"/>
        </w:rPr>
        <w:t>Dostosowanie budynków do technologii</w:t>
      </w:r>
      <w:r w:rsidR="00F37E6B" w:rsidRPr="000D20E5">
        <w:rPr>
          <w:rFonts w:cs="Calibri"/>
        </w:rPr>
        <w:t xml:space="preserve"> pasywnych</w:t>
      </w:r>
      <w:r w:rsidR="003373E8">
        <w:rPr>
          <w:rFonts w:cs="Calibri"/>
        </w:rPr>
        <w:t xml:space="preserve"> </w:t>
      </w:r>
    </w:p>
    <w:p w14:paraId="26EAA83E" w14:textId="5ADE6B6C" w:rsidR="00E10EA8" w:rsidRDefault="00E10EA8" w:rsidP="000D20E5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0D20E5">
        <w:rPr>
          <w:rFonts w:cs="Calibri"/>
        </w:rPr>
        <w:t xml:space="preserve">Systemy zarządzania </w:t>
      </w:r>
      <w:r w:rsidR="000D20E5">
        <w:rPr>
          <w:rFonts w:cs="Calibri"/>
        </w:rPr>
        <w:t>i monitorowania energii,</w:t>
      </w:r>
    </w:p>
    <w:p w14:paraId="21CBF7F6" w14:textId="7AF616AF" w:rsidR="00F715DD" w:rsidRPr="000D20E5" w:rsidRDefault="00F715DD" w:rsidP="000D20E5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>
        <w:rPr>
          <w:rFonts w:cs="Calibri"/>
        </w:rPr>
        <w:t>Podatek od towarów i usług.</w:t>
      </w:r>
    </w:p>
    <w:p w14:paraId="13450F85" w14:textId="77777777" w:rsidR="0009433A" w:rsidRPr="004564B3" w:rsidRDefault="004564B3" w:rsidP="004564B3">
      <w:pPr>
        <w:pStyle w:val="Akapitzlist"/>
        <w:numPr>
          <w:ilvl w:val="0"/>
          <w:numId w:val="14"/>
        </w:numPr>
        <w:spacing w:before="240" w:after="0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Za niekwalifikowane uznaje się koszy</w:t>
      </w:r>
      <w:r w:rsidR="0009433A" w:rsidRPr="004564B3">
        <w:rPr>
          <w:rFonts w:cs="Calibri"/>
          <w:color w:val="000000" w:themeColor="text1"/>
        </w:rPr>
        <w:t>:</w:t>
      </w:r>
    </w:p>
    <w:p w14:paraId="5B710F3F" w14:textId="77777777" w:rsidR="0009433A" w:rsidRPr="004564B3" w:rsidRDefault="0009433A" w:rsidP="004564B3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4564B3">
        <w:rPr>
          <w:rFonts w:cs="Calibri"/>
        </w:rPr>
        <w:t>zakup środków transportu,</w:t>
      </w:r>
    </w:p>
    <w:p w14:paraId="1B62CAFE" w14:textId="77777777" w:rsidR="0009433A" w:rsidRPr="004564B3" w:rsidRDefault="0009433A" w:rsidP="004564B3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4564B3">
        <w:rPr>
          <w:rFonts w:cs="Calibri"/>
        </w:rPr>
        <w:t>zakup lokalu lub nieruchomości,</w:t>
      </w:r>
    </w:p>
    <w:p w14:paraId="3812235A" w14:textId="77777777" w:rsidR="0009433A" w:rsidRPr="004564B3" w:rsidRDefault="0009433A" w:rsidP="004564B3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4564B3">
        <w:rPr>
          <w:rFonts w:cs="Calibri"/>
        </w:rPr>
        <w:t>budowa nowych budynków</w:t>
      </w:r>
      <w:r w:rsidR="004564B3">
        <w:rPr>
          <w:rFonts w:cs="Calibri"/>
        </w:rPr>
        <w:t xml:space="preserve"> </w:t>
      </w:r>
    </w:p>
    <w:p w14:paraId="2AE30C90" w14:textId="77777777" w:rsidR="0009433A" w:rsidRPr="004564B3" w:rsidRDefault="0009433A" w:rsidP="004564B3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4564B3">
        <w:rPr>
          <w:rFonts w:cs="Calibri"/>
        </w:rPr>
        <w:t>wkład własny niepieniężny</w:t>
      </w:r>
    </w:p>
    <w:p w14:paraId="6365B41F" w14:textId="77777777" w:rsidR="0009433A" w:rsidRPr="004564B3" w:rsidRDefault="0009433A" w:rsidP="004564B3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4564B3">
        <w:rPr>
          <w:rFonts w:cs="Calibri"/>
        </w:rPr>
        <w:t>koszt usług doradczych;</w:t>
      </w:r>
    </w:p>
    <w:p w14:paraId="4FBBF1DC" w14:textId="77777777" w:rsidR="0009433A" w:rsidRPr="004564B3" w:rsidRDefault="0009433A" w:rsidP="004564B3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4564B3">
        <w:rPr>
          <w:rFonts w:cs="Calibri"/>
        </w:rPr>
        <w:t xml:space="preserve">wydatki na przygotowanie wniosku o </w:t>
      </w:r>
      <w:r w:rsidR="00BD35B8">
        <w:rPr>
          <w:rFonts w:cs="Calibri"/>
        </w:rPr>
        <w:t>udzielenie pożyczki</w:t>
      </w:r>
      <w:r w:rsidRPr="004564B3">
        <w:rPr>
          <w:rFonts w:cs="Calibri"/>
        </w:rPr>
        <w:t>;</w:t>
      </w:r>
    </w:p>
    <w:p w14:paraId="783A74A3" w14:textId="77777777" w:rsidR="0009433A" w:rsidRPr="004564B3" w:rsidRDefault="0009433A" w:rsidP="004564B3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09433A">
        <w:rPr>
          <w:rFonts w:cs="Calibri"/>
        </w:rPr>
        <w:t>wydatki poniesione na dokumenty o charakterze planistycznym, takie jak Program Rewitalizacji,  Program Gospodarki Niskoemisyjnej czy Program Ograniczenia Niskiej Emisji nie mogą stanowić kosztów kwalifikowalnych w projekcie.</w:t>
      </w:r>
    </w:p>
    <w:p w14:paraId="75998ABF" w14:textId="77777777" w:rsidR="0009433A" w:rsidRDefault="0009433A" w:rsidP="004564B3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 w:rsidRPr="004564B3">
        <w:rPr>
          <w:rFonts w:cs="Calibri"/>
        </w:rPr>
        <w:t>koszty pośrednie, w tym m.in. wydatki związane z zarządzaniem projektem i j</w:t>
      </w:r>
      <w:r w:rsidR="00760C12">
        <w:rPr>
          <w:rFonts w:cs="Calibri"/>
        </w:rPr>
        <w:t>ego obsługą oraz koszty osobowe,</w:t>
      </w:r>
    </w:p>
    <w:p w14:paraId="4B23A86F" w14:textId="58CA1041" w:rsidR="00760C12" w:rsidRPr="00F715DD" w:rsidRDefault="00F11687" w:rsidP="00F715DD">
      <w:pPr>
        <w:pStyle w:val="Akapitzlist"/>
        <w:numPr>
          <w:ilvl w:val="1"/>
          <w:numId w:val="14"/>
        </w:numPr>
        <w:spacing w:before="240" w:after="0"/>
        <w:jc w:val="both"/>
        <w:rPr>
          <w:rFonts w:cs="Calibri"/>
        </w:rPr>
      </w:pPr>
      <w:r>
        <w:rPr>
          <w:rFonts w:cs="Calibri"/>
        </w:rPr>
        <w:t>koszty bieżącej działalności Wnioskodawcy, w tym koszty wynagrodzeń osobowego oraz bezosobowego funduszu płac</w:t>
      </w:r>
      <w:r w:rsidR="00F715DD">
        <w:rPr>
          <w:rFonts w:cs="Calibri"/>
        </w:rPr>
        <w:t>.</w:t>
      </w:r>
    </w:p>
    <w:sectPr w:rsidR="00760C12" w:rsidRPr="00F715DD" w:rsidSect="00414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AC6E2" w14:textId="77777777" w:rsidR="00A95061" w:rsidRDefault="00A95061" w:rsidP="00C85EC6">
      <w:pPr>
        <w:spacing w:after="0" w:line="240" w:lineRule="auto"/>
      </w:pPr>
      <w:r>
        <w:separator/>
      </w:r>
    </w:p>
  </w:endnote>
  <w:endnote w:type="continuationSeparator" w:id="0">
    <w:p w14:paraId="5136173A" w14:textId="77777777" w:rsidR="00A95061" w:rsidRDefault="00A95061" w:rsidP="00C8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E8AAB" w14:textId="77777777" w:rsidR="00EA08C8" w:rsidRDefault="00EA08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8F096" w14:textId="77777777" w:rsidR="00EA08C8" w:rsidRDefault="00EA08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F77C7" w14:textId="77777777" w:rsidR="00EA08C8" w:rsidRDefault="00EA08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F209A" w14:textId="77777777" w:rsidR="00A95061" w:rsidRDefault="00A95061" w:rsidP="00C85EC6">
      <w:pPr>
        <w:spacing w:after="0" w:line="240" w:lineRule="auto"/>
      </w:pPr>
      <w:r>
        <w:separator/>
      </w:r>
    </w:p>
  </w:footnote>
  <w:footnote w:type="continuationSeparator" w:id="0">
    <w:p w14:paraId="188C14F2" w14:textId="77777777" w:rsidR="00A95061" w:rsidRDefault="00A95061" w:rsidP="00C8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63792" w14:textId="77777777" w:rsidR="00EA08C8" w:rsidRDefault="00EA08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21224" w14:textId="77777777" w:rsidR="00C85EC6" w:rsidRDefault="00C85EC6" w:rsidP="00C85EC6">
    <w:pPr>
      <w:pStyle w:val="Nagwek"/>
    </w:pPr>
    <w:r>
      <w:rPr>
        <w:noProof/>
      </w:rPr>
      <w:drawing>
        <wp:inline distT="0" distB="0" distL="0" distR="0" wp14:anchorId="4D5FD0F7" wp14:editId="6FE06254">
          <wp:extent cx="1169035" cy="349885"/>
          <wp:effectExtent l="19050" t="0" r="0" b="0"/>
          <wp:docPr id="1" name="Obraz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tab/>
    </w:r>
    <w:r w:rsidR="00F90172">
      <w:rPr>
        <w:noProof/>
      </w:rPr>
      <w:drawing>
        <wp:inline distT="0" distB="0" distL="0" distR="0" wp14:anchorId="0E291F1D" wp14:editId="5A9B52E8">
          <wp:extent cx="946150" cy="437515"/>
          <wp:effectExtent l="19050" t="0" r="6350" b="0"/>
          <wp:docPr id="5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3C8710A" wp14:editId="13385A74">
          <wp:extent cx="406315" cy="33401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Å¼yczki Mazowiec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315" cy="33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</w:p>
  <w:p w14:paraId="717ECF35" w14:textId="77777777" w:rsidR="00C85EC6" w:rsidRDefault="00C85E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D0C91" w14:textId="77777777" w:rsidR="00EA08C8" w:rsidRDefault="00EA08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955CC"/>
    <w:multiLevelType w:val="multilevel"/>
    <w:tmpl w:val="31FAD1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BD61BE8"/>
    <w:multiLevelType w:val="hybridMultilevel"/>
    <w:tmpl w:val="96829174"/>
    <w:lvl w:ilvl="0" w:tplc="32F443E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5619"/>
    <w:multiLevelType w:val="hybridMultilevel"/>
    <w:tmpl w:val="314A5450"/>
    <w:lvl w:ilvl="0" w:tplc="A6549862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AE41503"/>
    <w:multiLevelType w:val="hybridMultilevel"/>
    <w:tmpl w:val="0600AE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35D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9359D8"/>
    <w:multiLevelType w:val="hybridMultilevel"/>
    <w:tmpl w:val="749612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C09C3"/>
    <w:multiLevelType w:val="hybridMultilevel"/>
    <w:tmpl w:val="69AC5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252A2"/>
    <w:multiLevelType w:val="hybridMultilevel"/>
    <w:tmpl w:val="B53C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A4109"/>
    <w:multiLevelType w:val="hybridMultilevel"/>
    <w:tmpl w:val="C7209D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80B18"/>
    <w:multiLevelType w:val="hybridMultilevel"/>
    <w:tmpl w:val="A3F224C2"/>
    <w:lvl w:ilvl="0" w:tplc="6264FAD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59F4"/>
    <w:multiLevelType w:val="hybridMultilevel"/>
    <w:tmpl w:val="8E4EE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958B0"/>
    <w:multiLevelType w:val="multilevel"/>
    <w:tmpl w:val="DF9CE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400280E"/>
    <w:multiLevelType w:val="hybridMultilevel"/>
    <w:tmpl w:val="2B7808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D10D4"/>
    <w:multiLevelType w:val="hybridMultilevel"/>
    <w:tmpl w:val="E6005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EC6"/>
    <w:rsid w:val="00011B31"/>
    <w:rsid w:val="0005480D"/>
    <w:rsid w:val="000879E5"/>
    <w:rsid w:val="0009433A"/>
    <w:rsid w:val="000A0F27"/>
    <w:rsid w:val="000D20E5"/>
    <w:rsid w:val="000D512F"/>
    <w:rsid w:val="000E2031"/>
    <w:rsid w:val="000E3799"/>
    <w:rsid w:val="00122520"/>
    <w:rsid w:val="00145320"/>
    <w:rsid w:val="00146267"/>
    <w:rsid w:val="001A60A5"/>
    <w:rsid w:val="001B22F6"/>
    <w:rsid w:val="001C6A05"/>
    <w:rsid w:val="002072F4"/>
    <w:rsid w:val="00211767"/>
    <w:rsid w:val="00273ADA"/>
    <w:rsid w:val="00295E86"/>
    <w:rsid w:val="003144D1"/>
    <w:rsid w:val="003373E8"/>
    <w:rsid w:val="00351D4F"/>
    <w:rsid w:val="003614AF"/>
    <w:rsid w:val="003B1882"/>
    <w:rsid w:val="003C712F"/>
    <w:rsid w:val="00414080"/>
    <w:rsid w:val="00440AC6"/>
    <w:rsid w:val="004564B3"/>
    <w:rsid w:val="00462ECA"/>
    <w:rsid w:val="0047138E"/>
    <w:rsid w:val="00495450"/>
    <w:rsid w:val="0049654E"/>
    <w:rsid w:val="004A0F7B"/>
    <w:rsid w:val="004F407E"/>
    <w:rsid w:val="004F7D5B"/>
    <w:rsid w:val="005167BB"/>
    <w:rsid w:val="00517F7C"/>
    <w:rsid w:val="00546919"/>
    <w:rsid w:val="0055539E"/>
    <w:rsid w:val="005649B2"/>
    <w:rsid w:val="0059132E"/>
    <w:rsid w:val="00594A33"/>
    <w:rsid w:val="00597AC9"/>
    <w:rsid w:val="005B598E"/>
    <w:rsid w:val="006606A8"/>
    <w:rsid w:val="006B1FA7"/>
    <w:rsid w:val="00760C12"/>
    <w:rsid w:val="0076667E"/>
    <w:rsid w:val="007870FE"/>
    <w:rsid w:val="00794B1E"/>
    <w:rsid w:val="007A5CE7"/>
    <w:rsid w:val="007B760C"/>
    <w:rsid w:val="00802FA4"/>
    <w:rsid w:val="0081141B"/>
    <w:rsid w:val="0081482A"/>
    <w:rsid w:val="00853FC4"/>
    <w:rsid w:val="00872BEC"/>
    <w:rsid w:val="00882813"/>
    <w:rsid w:val="008C561E"/>
    <w:rsid w:val="00900E3A"/>
    <w:rsid w:val="0090410C"/>
    <w:rsid w:val="00956FF4"/>
    <w:rsid w:val="00965A3E"/>
    <w:rsid w:val="0099050F"/>
    <w:rsid w:val="009A7678"/>
    <w:rsid w:val="009B0306"/>
    <w:rsid w:val="009B0A4C"/>
    <w:rsid w:val="009B602B"/>
    <w:rsid w:val="009C71A0"/>
    <w:rsid w:val="009D7869"/>
    <w:rsid w:val="009E51F5"/>
    <w:rsid w:val="009F22FC"/>
    <w:rsid w:val="00A0510E"/>
    <w:rsid w:val="00A256BE"/>
    <w:rsid w:val="00A758DE"/>
    <w:rsid w:val="00A95061"/>
    <w:rsid w:val="00AA2C5C"/>
    <w:rsid w:val="00AB3189"/>
    <w:rsid w:val="00AC509B"/>
    <w:rsid w:val="00AE7F77"/>
    <w:rsid w:val="00B030AF"/>
    <w:rsid w:val="00B40619"/>
    <w:rsid w:val="00B55219"/>
    <w:rsid w:val="00B5580F"/>
    <w:rsid w:val="00B61864"/>
    <w:rsid w:val="00B90C15"/>
    <w:rsid w:val="00B949F7"/>
    <w:rsid w:val="00BD35B8"/>
    <w:rsid w:val="00BE4592"/>
    <w:rsid w:val="00BE524E"/>
    <w:rsid w:val="00C07B26"/>
    <w:rsid w:val="00C373E4"/>
    <w:rsid w:val="00C64FE6"/>
    <w:rsid w:val="00C65742"/>
    <w:rsid w:val="00C73497"/>
    <w:rsid w:val="00C83781"/>
    <w:rsid w:val="00C85EC6"/>
    <w:rsid w:val="00CA22A6"/>
    <w:rsid w:val="00CB4FE1"/>
    <w:rsid w:val="00D316E8"/>
    <w:rsid w:val="00D35DCE"/>
    <w:rsid w:val="00D41A1B"/>
    <w:rsid w:val="00D74129"/>
    <w:rsid w:val="00DA5596"/>
    <w:rsid w:val="00DE5E8F"/>
    <w:rsid w:val="00DF187F"/>
    <w:rsid w:val="00E10EA8"/>
    <w:rsid w:val="00E31AFA"/>
    <w:rsid w:val="00E61509"/>
    <w:rsid w:val="00E61A71"/>
    <w:rsid w:val="00E850C4"/>
    <w:rsid w:val="00EA08C8"/>
    <w:rsid w:val="00EC0FB1"/>
    <w:rsid w:val="00EF128F"/>
    <w:rsid w:val="00F11687"/>
    <w:rsid w:val="00F37E6B"/>
    <w:rsid w:val="00F715DD"/>
    <w:rsid w:val="00F90172"/>
    <w:rsid w:val="00FA21CF"/>
    <w:rsid w:val="00FD0E66"/>
    <w:rsid w:val="00F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C456"/>
  <w15:docId w15:val="{6C2E4473-8609-422D-8D5C-EF55B050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5EC6"/>
    <w:rPr>
      <w:rFonts w:ascii="Calibri" w:eastAsia="Times New Roman" w:hAnsi="Calibri" w:cs="Arial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0FB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85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85EC6"/>
  </w:style>
  <w:style w:type="paragraph" w:styleId="Stopka">
    <w:name w:val="footer"/>
    <w:basedOn w:val="Normalny"/>
    <w:link w:val="StopkaZnak"/>
    <w:uiPriority w:val="99"/>
    <w:unhideWhenUsed/>
    <w:rsid w:val="00C85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EC6"/>
  </w:style>
  <w:style w:type="paragraph" w:styleId="Tekstdymka">
    <w:name w:val="Balloon Text"/>
    <w:basedOn w:val="Normalny"/>
    <w:link w:val="TekstdymkaZnak"/>
    <w:uiPriority w:val="99"/>
    <w:semiHidden/>
    <w:unhideWhenUsed/>
    <w:rsid w:val="00C8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E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41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C0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F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F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FF4"/>
    <w:rPr>
      <w:rFonts w:ascii="Calibri" w:eastAsia="Times New Roman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F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FF4"/>
    <w:rPr>
      <w:rFonts w:ascii="Calibri" w:eastAsia="Times New Roman" w:hAnsi="Calibri" w:cs="Arial"/>
      <w:b/>
      <w:bCs/>
      <w:sz w:val="20"/>
      <w:szCs w:val="20"/>
      <w:lang w:eastAsia="pl-PL"/>
    </w:rPr>
  </w:style>
  <w:style w:type="character" w:customStyle="1" w:styleId="FontStyle39">
    <w:name w:val="Font Style39"/>
    <w:basedOn w:val="Domylnaczcionkaakapitu"/>
    <w:uiPriority w:val="99"/>
    <w:rsid w:val="00FD742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4">
    <w:name w:val="Style14"/>
    <w:basedOn w:val="Normalny"/>
    <w:uiPriority w:val="99"/>
    <w:rsid w:val="00FD742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Domylnaczcionkaakapitu"/>
    <w:uiPriority w:val="99"/>
    <w:rsid w:val="00145320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qFormat/>
    <w:rsid w:val="00B90C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94A33"/>
    <w:rPr>
      <w:rFonts w:ascii="Calibri" w:eastAsia="Times New Roman" w:hAnsi="Calibri" w:cs="Arial"/>
      <w:lang w:eastAsia="pl-PL"/>
    </w:rPr>
  </w:style>
  <w:style w:type="paragraph" w:customStyle="1" w:styleId="Style11">
    <w:name w:val="Style11"/>
    <w:basedOn w:val="Normalny"/>
    <w:uiPriority w:val="99"/>
    <w:rsid w:val="005167B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ighlight">
    <w:name w:val="highlight"/>
    <w:basedOn w:val="Domylnaczcionkaakapitu"/>
    <w:rsid w:val="0009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Bzdyra</dc:creator>
  <cp:keywords/>
  <dc:description/>
  <cp:lastModifiedBy>l.galant@pozyczkimazowieckie.pl</cp:lastModifiedBy>
  <cp:revision>28</cp:revision>
  <dcterms:created xsi:type="dcterms:W3CDTF">2019-06-01T14:11:00Z</dcterms:created>
  <dcterms:modified xsi:type="dcterms:W3CDTF">2020-06-26T12:53:00Z</dcterms:modified>
</cp:coreProperties>
</file>